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67</w:t>
      </w:r>
    </w:p>
    <w:p>
      <w:r>
        <w:t>Bundesgericht (BGE), 2012-01-10, FR</w:t>
      </w:r>
    </w:p>
    <w:p>
      <w:r>
        <w:rPr>
          <w:b/>
        </w:rPr>
        <w:t xml:space="preserve">Quelle: </w:t>
      </w:r>
      <w:r>
        <w:t>https://mcp.opencaselaw.ch/entscheid/bge_138 III 67</w:t>
      </w:r>
    </w:p>
    <w:p>
      <w:r>
        <w:t>FR: ATF 138 III 67</w:t>
      </w:r>
    </w:p>
    <w:p>
      <w:r>
        <w:t>IT: DTF 138 III 67</w:t>
      </w:r>
    </w:p>
    <w:p>
      <w:pPr>
        <w:pStyle w:val="Heading2"/>
      </w:pPr>
      <w:r>
        <w:t>Regeste</w:t>
      </w:r>
    </w:p>
    <w:p>
      <w:r>
        <w:t>Regeste a Art. 340 Abs. 2 OR; Gültigkeit eines Konkurrenzverbotes. Erbringt der Arbeitnehmer dem Kunden eine Leistung, die vorwiegend von seinen persönlichen Fähigkeiten geprägt ist, so dass der Kunde diesen Fähigkeiten eine grössere Wichtigkeit beimisst als der Identität des Arbeitgebers, ist ein Konkurrenzverbot gestützt auf den Einblick in den Kundenkreis ungültig (E. 2.2).</w:t>
      </w:r>
    </w:p>
    <w:p>
      <w:r>
        <w:t>Regeste b Fabrikations- und Geschäftsgeheimnisse des Arbeitgebers (Art. 340 Abs. 2 OR); Treuepflicht des Arbeitnehmers (Art. 321a OR). Die Fabrikations- und Geschäftsgeheimnisse des Arbeitgebers müssen spezifische technische, organisatorische oder finanzielle Fragen betreffen, die dieser geheim halten will. Die Treuepflicht des Arbeitnehmers erlischt mangels anderslautender gesetzlicher Vorschrift mit Ablauf des Arbeitsvertrags. Der Arbeitnehmer, der gemeinsam mit anderen die Gründung eines Konkurrenzunternehmens ins Auge fasst und hiezu noch vor Ablauf des Arbeitsvertrags Vorbereitungshandlungen vornimmt, verletzt seine Treuepflicht nicht, solange er seinen Arbeitgeber nicht zu konkurrenzieren bzw. dessen Arbeitnehmer oder Kundschaft abzuwerben beginnt. Anwendung dieser Prinzipien auf den vorliegenden Fall (E. 2.3).</w:t>
      </w:r>
    </w:p>
    <w:p>
      <w:pPr>
        <w:pStyle w:val="Heading2"/>
      </w:pPr>
      <w:r>
        <w:t>Erwägungen</w:t>
      </w:r>
    </w:p>
    <w:p>
      <w:r>
        <w:rPr>
          <w:b/>
        </w:rPr>
        <w:t>E. 2.2</w:t>
      </w:r>
    </w:p>
    <w:p>
      <w:r>
        <w:t>Le contrat de travail conclu avec chacun des intimés est assorti d'une clause de prohibition de concurrence au sens des art. 340 à 340c CO. En cas de violation de cette clause, une peine conventionnelle a été prévue (art. 160 à 163 CO; cf. également: art. 340b al. 2 CO ). La cour cantonale a conclu que la clause de prohibition de concurrence et en conséquence la clause pénale qui lui est liée n'étaient pas valables. Il s'agit là de la première question juridique qu'il convient de résoudre. BGE 138 III 67 S. 70</w:t>
      </w:r>
    </w:p>
    <w:p>
      <w:r>
        <w:rPr>
          <w:b/>
        </w:rPr>
        <w:t>E. 2.2.1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Dans une jurisprudence ancienne, le Tribunal fédéral a considéré que l'employé ne pouvait tirer profit de sa connaissance de la clientèle lorsque les rapports entre la clientèle et l'employeur ont essentiellement un caractère personnel, fondé sur la compétence de cet employeur, par exemple s'il s'agit d'un avocat célèbre ou d'un chirurgien réputé; dans ce cas, en effet, la connaissance que l'employé possède de la clientèle ne lui procure pas, à elle seule, le moyen de rompre ou de distendre le lien existant entre l'employeur et sa clientèle ( ATF 78 II 39 consid. 1 p. 40 s. et les arrêts cités). Ultérieurement, la jurisprudence a eu l'occasion de se pencher sur la situation inverse, à savoir le cas où une relation personnelle était établie entre le client et l'employé lui-même, en l'occurrence un dentiste; il a été conclu que dans ce cas également, la clause de prohibition de concurrence n'était pas valable, parce que la personnalité de l'employé revêtait pour le client une importance prépondérante et interrompait le rapport de causalité qui doit exister entre la simple connaissance de la clientèle et la possibilité de causer un dommage sensible à l'employeur (arrêt 4C.100/2006 du 13 juillet 2007 consid. 2.6). Cette jurisprudence a été approuvée par la doctrine unanime pour les cas où la relation entre la clientèle et l'employé repose essentiellement sur les capacités personnelles de ce dernier et relègue à l'arrière-plan l'identité de l'employeur (GABRIEL AUBERT, in Commentaire romand, Code des obligations, vol. I, 2003, n° 9 ad art. 340 CO ; TERCIER/FAVRE, Les contrats spéciaux, 4 e éd. 2009, n. 3843 p. 573; PIERRE ENGEL, Contrats de droit suisse, 2 e éd. 2000, p. 391; STREIFF/VON KAENEL, Arbeitsvertrag, 6 e éd. 2006, n° s 10, 11 et 15 ad art. 340 CO ; ADRIAN STAEHELIN, Commentaire zurichois, 1996, n° 16 ad art. 340 CO ; JÜRG BRÜHWILER, Kommentar zum Einzelarbeitsvertrag, 2 e éd. 1996, n° 12 ad art. 340 CO ; MANFRED REHBINDER, Commentaire bernois, 1992, n° 12 ad art. 340 CO ; PHILIPPE CARRUZZO, Le contrat individuel de travail, 2009, n° 4 ad art. 340 CO p. 595; RÉMY WYLER, Droit du travail, 2 e éd. 2008, p. 599; CHRISTIAN FAVRE ET AL., Le contrat de travail, Code annoté, 2010, n° 2.3 ad art. 340 CO ; CHRISTIANE BRUNNER ET AL., BGE 138 III 67 S. 71 Commentaire du contrat de travail, 3 e éd. 2004, p. 309 s.; CHRISTOPH NEERACHER, Das arbeitsvertragliche Konkurrenzverbot, 2001, p. 39).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 art.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Dire si tel est le cas dépend des circonstances, dont la constatation relève du fait et lie le Tribunal fédéral ( art. 105 al. 1 LTF ).</w:t>
      </w:r>
    </w:p>
    <w:p>
      <w:r>
        <w:rPr>
          <w:b/>
        </w:rPr>
        <w:t>E. 2.2.2</w:t>
      </w:r>
    </w:p>
    <w:p>
      <w:r>
        <w:t>En l'espèce, la cour cantonale a procédé à une appréciation des preuves recueillies. Un témoin a estimé que les qualités personnelles des animateurs comptaient pour 70 % dans la décision de la clientèle. On ne voit pas ce qu'il y a d'arbitraire à le croire. Par ailleurs, les qualités oratoires des animateurs et les réactions positives de l'auditoire ont également été invoquées. Il n'a pas été établi que la recourante utilisait une méthode d'enseignement particulière ou que BGE 138 III 67 S. 72 son matériel de soutien à la présentation jouait un rôle particulièrement important. Pour des séminaires de formation, on conçoit facilement que les entreprises clientes attachent une importance prépondérante à la capacité de l'animateur d'attirer l'attention, de s'exprimer clairement et de transmettre un message que l'auditoire retiendra. On ne saurait dire que la cour cantonale a établi les faits de manière arbitraire. Sur cette base, il faut conclure qu'exploiter la seule connaissance de la clientèle ne suffisait pas pour causer un préjudice sensible à l'employeur et que le préjudice subi découle au contraire, de manière prépondérante, des capacités personnelles des travailleurs. En conséquence, la cour cantonale n'a pas violé l' art. 340 al. 2 CO en concluant que la clause de prohibition de concurrence n'était pas valable.</w:t>
      </w:r>
    </w:p>
    <w:p>
      <w:r>
        <w:rPr>
          <w:b/>
        </w:rPr>
        <w:t>E. 2.3</w:t>
      </w:r>
    </w:p>
    <w:p>
      <w:r>
        <w:t>La recourante reproche aux intimés d'avoir indiqué à des clients, avant la fin des rapports de travail, qu'ils poursuivraient leur activité à titre indépendant ou dans une autre structure et d'avoir ainsi détourné de la clientèle de leur employeur; elle considère que les intimés ont violé leur devoir de fidélité et qu'ils lui ont causé un dommage.</w:t>
      </w:r>
    </w:p>
    <w:p>
      <w:r>
        <w:rPr>
          <w:b/>
        </w:rPr>
        <w:t>E. 2.3.1</w:t>
      </w:r>
    </w:p>
    <w:p>
      <w:r>
        <w:t>Selon l' art. 321a al. 1 CO , le travailleur doit sauvegarder fidèlement les intérêts légitimes de l'employeur. Il ne doit pas faire concurrence à l'employeur pendant la durée du contrat ( art. 321a al. 3 CO ).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 art. 321a al. 4 CO ). Si le travailleur contrevient à ses obligations, il répond du dommage qu'il cause à l'employeur intentionnellement ou par négligence ( art. 321e al. 1 CO ).</w:t>
      </w:r>
    </w:p>
    <w:p>
      <w:r>
        <w:rPr>
          <w:b/>
        </w:rPr>
        <w:t>E. 2.3.2</w:t>
      </w:r>
    </w:p>
    <w:p>
      <w:r>
        <w:t>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(arrêts 4A_31/2010 du 16 mars 2010 consid. 2.1, in JdT 2011 II p. 220; 4A_417/2008 du 3 décembre 2008 consid. 4.1 BGE 138 III 67 S. 73 et les références citées). L'existence de tels secrets ne ressort pas en l'espèce des constatations cantonales. L' art. 340 al. 2 CO distingue d'ailleurs la connaissance de la clientèle, d'une part, et les secrets de fabrication ou d'affaires, d'autre part. La seule connaissance de la clientèle ne saurait donc en aucun cas constituer l'un de ces secrets particuliers que le travailleur devrait garder même après la fin du contrat de travail ( art. 321a al. 4 CO ). La recourante ne le prétend d'ailleurs pas, la cour cantonale ayant même constaté qu'elle publiait sur internet la liste de ses principaux clients.</w:t>
      </w:r>
    </w:p>
    <w:p>
      <w:r>
        <w:rPr>
          <w:b/>
        </w:rPr>
        <w:t>E. 2.3.3</w:t>
      </w:r>
    </w:p>
    <w:p>
      <w:r>
        <w:t>Le contrat de travail, qui est un contrat de durée, n'oblige en principe les parties que pendant la période durant laquelle il déploie ses effets. En l'absence d'une disposition légale contraire, le travailleur peut se prévaloir, après l'extinction du contrat, de la liberté économique, qui comprend notamment le libre choix de la profession, le libre accès à une activité économique lucrative privée et son libre exercice ( art. 27 Cst. ). Ainsi, la jurisprudence a souligné que les parties à un contrat de travail - en dehors de l'hypothèse d'une prohibition de concurrence licite - ne sauraient valablement restreindre le droit du travailleur d'exercer une activité économique après la fin du contrat ( ATF 102 II 211 consid. 5 p. 218).</w:t>
      </w:r>
    </w:p>
    <w:p>
      <w:r>
        <w:rPr>
          <w:b/>
        </w:rPr>
        <w:t>E. 2.3.4</w:t>
      </w:r>
    </w:p>
    <w:p>
      <w:r>
        <w:t>Ainsi, le devoir de fidélité, invoqué par la recourante, s'est éteint avec l'extinction du rapport de travail. Or il a été constaté que les deux contrats de travail ont été résiliés pour le 31 janvier 2008. Que les intimés aient encore exercé quelques tâches pour leur ancien employeur après cette date - probablement sur la base d'un mandat comme l'admet la recourante - n'y change rien. En effet, il n'est ni allégué ni démontré que les actes reprochés aux intimés entreraient en contradiction avec les intérêts du mandant découlant de ces mandats particuliers. La recourante assumant le fardeau de la preuve ( art. 8 CC ), il était essentiel qu'elle parvienne à prouver que les actes reprochés aux intimés ont eu lieu avant le 31 janvier 2008, date à laquelle le devoir de fidélité a pris fin.</w:t>
      </w:r>
    </w:p>
    <w:p>
      <w:r>
        <w:rPr>
          <w:b/>
        </w:rPr>
        <w:t>E. 2.3.5</w:t>
      </w:r>
    </w:p>
    <w:p>
      <w:r>
        <w:t>Lorsqu'un employé envisage de se mettre à son compte ou de fonder avec d'autres une entreprise concurrente, il est en soi légitime qu'il puisse entreprendre des préparatifs avant que le contrat de BGE 138 III 67 S. 74 travail ne prenne fin; son devoir de fidélité lui interdit cependant de commencer à concurrencer son employeur, de débaucher des employés ou de détourner de la clientèle avant la fin de la relation de travail ( ATF 117 II 72 consid. 4 p. 74). La limite entre les préparatifs admissibles et un véritable détournement de la clientèle n'est pas toujours facile à tracer. Il est en tout cas certain que les intimés, après la fin du rapport de travail, étaient en droit de faire connaître leur entreprise et d'en vanter les prestations. La chronologie des événements joue donc un rôle essentiel.</w:t>
      </w:r>
    </w:p>
    <w:p>
      <w:r>
        <w:rPr>
          <w:b/>
        </w:rPr>
        <w:t>E. 2.3.6</w:t>
      </w:r>
    </w:p>
    <w:p>
      <w:r>
        <w:t>Les faits les plus précis reprochés par la recourante aux intimés concernent un entretien que l'intimé Y. a eu avec une responsable de la banque B. La cour cantonale a conclu que la recourante n'était pas parvenue à prouver que cet entretien avait eu lieu avant la fin des rapports de travail. La recourante se plaint d'arbitraire dans l'établissement des faits et invoque avec précision un procès-verbal d'audience dressé le 15 juin 2009. D'après ce document, le témoin a affirmé que la banque avait appris que certains formateurs allaient quitter la recourante de sorte que la banque a décidé de suspendre au moins temporairement ses relations avec elle. Ce témoignage ne permet pas d'établir qui a fourni cette information à la banque. Une pièce a été présentée au témoin à savoir la pièce n° 9 produite par la demanderesse. Il s'agit d'un courrier électronique du 30 novembre 2007. Le témoin a ensuite évoqué l'entretien litigieux avec l'intimé prénommé, mais a ajouté: "Je ne suis pas en mesure de situer chronologiquement cette circonstance. Tout ce que je puis dire, c'est que cette circonstance était postérieure à l'e-mail que vous m'avez montré il y a un instant". Selon le procès-verbal, la seule pièce présentée au témoin a été ce courrier électronique du 30 novembre 2007. La cour cantonale n'a donc pas statué arbitrairement en concluant que le témoin avait affirmé que l'entretien litigieux avait eu lieu après le 30 novembre 2007. Dire qu'il n'est pas exclu que cet entretien ait pu avoir lieu après la fin du rapport de travail, soit postérieurement au 31 janvier 2008, ne peut pas être qualifié d'arbitraire (sur la notion d'arbitraire, notamment dans l'appréciation des preuves: cf. ATF 136 III 552 consid. 4.2 p. 560). Ainsi, la recourante n'est pas parvenue à prouver les faits permettant de constater une violation du devoir de fidélité, puisque les faits invoqués peuvent s'être produits après l'extinction de ce devoir. BGE 138 III 67 S. 75</w:t>
      </w:r>
    </w:p>
    <w:p>
      <w:r>
        <w:rPr>
          <w:b/>
        </w:rPr>
        <w:t>E. 2.3.7</w:t>
      </w:r>
    </w:p>
    <w:p>
      <w:r>
        <w:t>La recourante reproche aussi à l'intimé Y. d'avoir informé A. du fait qu'il allait poursuivre son activité dans une autre structure. Non seulement la cour cantonale a considéré qu'il ne s'agissait pas d'une violation du devoir de fidélité, mais elle a ajouté - à titre de motivation alternative - qu'il n'était pas prouvé que cette communication serait intervenue avant la fin du contrat de travail. Mais la recourante ne démontre pas que cette seconde motivation procéderait d'une appréciation arbitraire des preuves ( art. 106 al. 2 LTF ). Dès lors qu'il est possible que la déclaration ait été faite après l'extinction du devoir de fidélité, la cour cantonale n'a pas violé le droit fédéral en constatant qu'une violation de ce devoir n'avait pas été établie.</w:t>
      </w:r>
    </w:p>
    <w:p>
      <w:r>
        <w:rPr>
          <w:b/>
        </w:rPr>
        <w:t>E. 2.3.8</w:t>
      </w:r>
    </w:p>
    <w:p>
      <w:r>
        <w:t>La recourante reproche à l'intimé Z. d'avoir déclaré aux clients D. et E. qu'ils pouvaient soit continuer leur relation contractuelle avec la recourante, soit le suivre dans la nouvelle structure. La cour cantonale a estimé qu'une telle information, en soi complète et objective, ne pouvait pas être considérée comme une violation du devoir de fidélité, des propos réellement préjudiciables n'ayant pas été établis. Quoi qu'il en soit, même si l'on voulait retenir une violation du devoir de fidélité, la recourante ne pourrait demander que la réparation du dommage qui en résulte pour elle (art. 321e al. 1 et 97 al. 1 CO). Or il est incontestable que l'intimé précité pouvait faire une semblable déclaration après la fin des relations de travail, puisque le devoir de fidélité s'était alors éteint. Le seul reproche que l'on pourrait lui faire est d'avoir fait cette déclaration prématurément. Pour qu'il en résulte un dommage, il faudrait que la recourante établisse que sa situation financière nette aurait été meilleure si la déclaration, plutôt que d'intervenir à la date à laquelle elle a été effectuée, avait eu lieu après le 31 janvier 2008. Alors que la cour cantonale avait signalé - sans le trancher - le problème du dommage, la recourante, qui traite du montant de son préjudice, n'explique pas comment elle aurait pu l'éviter si la révélation n'avait été faite qu'après le 31 janvier 2008. Ainsi, on ne voit pas que l'action en dommages-intérêts aurait pu aboutir et la décision de la rejeter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